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B306" w14:textId="77777777" w:rsidR="00AF68AD" w:rsidRDefault="00AF68AD"/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260"/>
        <w:gridCol w:w="3591"/>
      </w:tblGrid>
      <w:tr w:rsidR="00543DF9" w:rsidRPr="00543DF9" w14:paraId="579BE03B" w14:textId="77777777" w:rsidTr="00237EA2">
        <w:tc>
          <w:tcPr>
            <w:tcW w:w="3823" w:type="dxa"/>
            <w:shd w:val="clear" w:color="auto" w:fill="D9D9D9" w:themeFill="background1" w:themeFillShade="D9"/>
          </w:tcPr>
          <w:p w14:paraId="1E8CB676" w14:textId="77777777" w:rsidR="00543DF9" w:rsidRPr="00543DF9" w:rsidRDefault="00543DF9" w:rsidP="003F2AFF">
            <w:pPr>
              <w:rPr>
                <w:rFonts w:ascii="Arial" w:hAnsi="Arial" w:cs="Arial"/>
              </w:rPr>
            </w:pPr>
            <w:r w:rsidRPr="00543DF9">
              <w:rPr>
                <w:rFonts w:ascii="Arial" w:hAnsi="Arial" w:cs="Arial"/>
              </w:rPr>
              <w:t>Standard / Framework</w:t>
            </w:r>
            <w:r w:rsidR="00237EA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3260" w:type="dxa"/>
          </w:tcPr>
          <w:p w14:paraId="17409912" w14:textId="77777777" w:rsidR="00543DF9" w:rsidRPr="00543DF9" w:rsidRDefault="00543DF9" w:rsidP="003F2AF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243D16F7" w14:textId="77777777" w:rsidR="00543DF9" w:rsidRPr="00543DF9" w:rsidRDefault="00543DF9" w:rsidP="003F2AFF">
            <w:pPr>
              <w:rPr>
                <w:rFonts w:ascii="Arial" w:hAnsi="Arial" w:cs="Arial"/>
              </w:rPr>
            </w:pPr>
            <w:r w:rsidRPr="00543DF9">
              <w:rPr>
                <w:rFonts w:ascii="Arial" w:hAnsi="Arial" w:cs="Arial"/>
              </w:rPr>
              <w:t>Delivery Method</w:t>
            </w:r>
            <w:r w:rsidR="00237EA2">
              <w:rPr>
                <w:rFonts w:ascii="Arial" w:hAnsi="Arial" w:cs="Arial"/>
              </w:rPr>
              <w:t>(s)</w:t>
            </w:r>
          </w:p>
        </w:tc>
        <w:tc>
          <w:tcPr>
            <w:tcW w:w="3591" w:type="dxa"/>
          </w:tcPr>
          <w:p w14:paraId="56A6C9E3" w14:textId="77777777" w:rsidR="00543DF9" w:rsidRPr="00543DF9" w:rsidRDefault="003967F8" w:rsidP="003F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Classroom / </w:t>
            </w:r>
            <w:r w:rsidR="00543DF9" w:rsidRPr="00543DF9">
              <w:rPr>
                <w:rFonts w:ascii="Arial" w:hAnsi="Arial" w:cs="Arial"/>
              </w:rPr>
              <w:t>Workplace</w:t>
            </w:r>
          </w:p>
        </w:tc>
      </w:tr>
    </w:tbl>
    <w:p w14:paraId="11F61E50" w14:textId="77777777" w:rsidR="003F2AFF" w:rsidRPr="00543DF9" w:rsidRDefault="003F2AFF">
      <w:pPr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823"/>
        <w:gridCol w:w="10206"/>
      </w:tblGrid>
      <w:tr w:rsidR="00B40766" w:rsidRPr="00543DF9" w14:paraId="300AC540" w14:textId="77777777" w:rsidTr="00543DF9">
        <w:tc>
          <w:tcPr>
            <w:tcW w:w="3823" w:type="dxa"/>
            <w:shd w:val="clear" w:color="auto" w:fill="D9D9D9" w:themeFill="background1" w:themeFillShade="D9"/>
          </w:tcPr>
          <w:p w14:paraId="29F5A59A" w14:textId="77777777" w:rsidR="00B40766" w:rsidRPr="00543DF9" w:rsidRDefault="00596B68">
            <w:pPr>
              <w:rPr>
                <w:rFonts w:ascii="Arial" w:hAnsi="Arial" w:cs="Arial"/>
              </w:rPr>
            </w:pPr>
            <w:r w:rsidRPr="00543DF9">
              <w:rPr>
                <w:rFonts w:ascii="Arial" w:hAnsi="Arial" w:cs="Arial"/>
              </w:rPr>
              <w:t>Apprentice</w:t>
            </w:r>
            <w:r w:rsidR="00B40766" w:rsidRPr="00543DF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0206" w:type="dxa"/>
          </w:tcPr>
          <w:p w14:paraId="4FDEC3CF" w14:textId="77777777" w:rsidR="00B40766" w:rsidRPr="00543DF9" w:rsidRDefault="00B40766">
            <w:pPr>
              <w:rPr>
                <w:rFonts w:ascii="Arial" w:hAnsi="Arial" w:cs="Arial"/>
              </w:rPr>
            </w:pPr>
          </w:p>
        </w:tc>
      </w:tr>
      <w:tr w:rsidR="00596B68" w:rsidRPr="00543DF9" w14:paraId="445C32F5" w14:textId="77777777" w:rsidTr="00543DF9">
        <w:tc>
          <w:tcPr>
            <w:tcW w:w="3823" w:type="dxa"/>
            <w:shd w:val="clear" w:color="auto" w:fill="D9D9D9" w:themeFill="background1" w:themeFillShade="D9"/>
          </w:tcPr>
          <w:p w14:paraId="283DF50E" w14:textId="77777777" w:rsidR="00596B68" w:rsidRPr="00543DF9" w:rsidRDefault="00596B68">
            <w:pPr>
              <w:rPr>
                <w:rFonts w:ascii="Arial" w:hAnsi="Arial" w:cs="Arial"/>
              </w:rPr>
            </w:pPr>
            <w:r w:rsidRPr="00543DF9">
              <w:rPr>
                <w:rFonts w:ascii="Arial" w:hAnsi="Arial" w:cs="Arial"/>
              </w:rPr>
              <w:t>Employer Name</w:t>
            </w:r>
          </w:p>
        </w:tc>
        <w:tc>
          <w:tcPr>
            <w:tcW w:w="10206" w:type="dxa"/>
          </w:tcPr>
          <w:p w14:paraId="6BEED487" w14:textId="77777777" w:rsidR="00596B68" w:rsidRPr="00543DF9" w:rsidRDefault="00596B68">
            <w:pPr>
              <w:rPr>
                <w:rFonts w:ascii="Arial" w:hAnsi="Arial" w:cs="Arial"/>
              </w:rPr>
            </w:pPr>
          </w:p>
        </w:tc>
      </w:tr>
    </w:tbl>
    <w:p w14:paraId="201BBAD8" w14:textId="77777777" w:rsidR="00B40766" w:rsidRPr="00543DF9" w:rsidRDefault="00B407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1597"/>
        <w:gridCol w:w="1843"/>
        <w:gridCol w:w="1701"/>
        <w:gridCol w:w="6156"/>
      </w:tblGrid>
      <w:tr w:rsidR="00B114F7" w:rsidRPr="00F21B50" w14:paraId="088FC758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62DBC224" w14:textId="77777777" w:rsidR="00B114F7" w:rsidRPr="00F21B50" w:rsidRDefault="00B114F7">
            <w:pPr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3B3B878" w14:textId="77777777" w:rsidR="00B114F7" w:rsidRPr="00F21B50" w:rsidRDefault="00B114F7" w:rsidP="008B0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B8A1D2" w14:textId="77777777" w:rsidR="00B114F7" w:rsidRPr="00F21B50" w:rsidRDefault="00B114F7" w:rsidP="00F21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Individual cost based on Initial Assessment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24C10C" w14:textId="77777777" w:rsidR="00B114F7" w:rsidRPr="00F21B50" w:rsidRDefault="00B114F7" w:rsidP="00F21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Time required based on Initial Assessment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14:paraId="4B0E8EF9" w14:textId="77777777" w:rsidR="00B114F7" w:rsidRPr="00F21B50" w:rsidRDefault="00B114F7" w:rsidP="00F21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Rationale for Price / Time</w:t>
            </w:r>
          </w:p>
        </w:tc>
      </w:tr>
      <w:tr w:rsidR="00B114F7" w:rsidRPr="00543DF9" w14:paraId="37BEB83C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0EDF2921" w14:textId="77777777" w:rsidR="00EE1981" w:rsidRPr="00F21B50" w:rsidRDefault="00EE1981">
            <w:pPr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Learning P</w:t>
            </w:r>
            <w:r w:rsidR="00B114F7" w:rsidRPr="00F21B50">
              <w:rPr>
                <w:rFonts w:ascii="Arial" w:hAnsi="Arial" w:cs="Arial"/>
                <w:sz w:val="20"/>
                <w:szCs w:val="20"/>
              </w:rPr>
              <w:t xml:space="preserve">lan </w:t>
            </w:r>
            <w:r w:rsidRPr="00F21B50">
              <w:rPr>
                <w:rFonts w:ascii="Arial" w:hAnsi="Arial" w:cs="Arial"/>
                <w:sz w:val="20"/>
                <w:szCs w:val="20"/>
              </w:rPr>
              <w:t>D</w:t>
            </w:r>
            <w:r w:rsidR="00B114F7" w:rsidRPr="00F21B50">
              <w:rPr>
                <w:rFonts w:ascii="Arial" w:hAnsi="Arial" w:cs="Arial"/>
                <w:sz w:val="20"/>
                <w:szCs w:val="20"/>
              </w:rPr>
              <w:t>evelopment</w:t>
            </w:r>
            <w:r w:rsidRPr="00F21B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398645" w14:textId="77777777" w:rsidR="00EE1981" w:rsidRPr="00F21B50" w:rsidRDefault="00EE19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0D026" w14:textId="77777777" w:rsidR="00B114F7" w:rsidRPr="00F21B50" w:rsidRDefault="00EE1981">
            <w:pPr>
              <w:rPr>
                <w:rFonts w:ascii="Arial" w:hAnsi="Arial" w:cs="Arial"/>
                <w:sz w:val="16"/>
                <w:szCs w:val="16"/>
              </w:rPr>
            </w:pPr>
            <w:r w:rsidRPr="00F21B50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="00B114F7" w:rsidRPr="00F21B50">
              <w:rPr>
                <w:rFonts w:ascii="Arial" w:hAnsi="Arial" w:cs="Arial"/>
                <w:sz w:val="16"/>
                <w:szCs w:val="16"/>
              </w:rPr>
              <w:t>includes</w:t>
            </w:r>
            <w:r w:rsidRPr="00F21B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3DF9" w:rsidRPr="00F21B50">
              <w:rPr>
                <w:rFonts w:ascii="Arial" w:hAnsi="Arial" w:cs="Arial"/>
                <w:sz w:val="16"/>
                <w:szCs w:val="16"/>
              </w:rPr>
              <w:t>o</w:t>
            </w:r>
            <w:r w:rsidR="00B114F7" w:rsidRPr="00F21B50">
              <w:rPr>
                <w:rFonts w:ascii="Arial" w:hAnsi="Arial" w:cs="Arial"/>
                <w:sz w:val="16"/>
                <w:szCs w:val="16"/>
              </w:rPr>
              <w:t>ngoing development of individual resources that are suitable for the apprentice</w:t>
            </w:r>
            <w:r w:rsidRPr="00F21B5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9DF56E" w14:textId="77777777" w:rsidR="00F21B50" w:rsidRPr="00F21B50" w:rsidRDefault="00F21B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0DD5C91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351E2F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D3E67D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1B3E152A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</w:tr>
      <w:tr w:rsidR="00B114F7" w:rsidRPr="00543DF9" w14:paraId="68E022EE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2AAEB6AE" w14:textId="77777777" w:rsidR="00EE1981" w:rsidRPr="00F21B50" w:rsidRDefault="00EE1981" w:rsidP="00543DF9">
            <w:pPr>
              <w:rPr>
                <w:rFonts w:ascii="Arial" w:hAnsi="Arial" w:cs="Arial"/>
                <w:sz w:val="20"/>
                <w:szCs w:val="20"/>
              </w:rPr>
            </w:pPr>
            <w:r w:rsidRPr="00F21B50">
              <w:rPr>
                <w:rFonts w:ascii="Arial" w:hAnsi="Arial" w:cs="Arial"/>
                <w:sz w:val="20"/>
                <w:szCs w:val="20"/>
              </w:rPr>
              <w:t>Teaching and A</w:t>
            </w:r>
            <w:r w:rsidR="00B114F7" w:rsidRPr="00F21B50">
              <w:rPr>
                <w:rFonts w:ascii="Arial" w:hAnsi="Arial" w:cs="Arial"/>
                <w:sz w:val="20"/>
                <w:szCs w:val="20"/>
              </w:rPr>
              <w:t>ssessment</w:t>
            </w:r>
            <w:r w:rsidRPr="00F21B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A305BC" w14:textId="77777777" w:rsidR="00EE1981" w:rsidRPr="00F21B50" w:rsidRDefault="00EE1981" w:rsidP="00543D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FAC95" w14:textId="77777777" w:rsidR="00B114F7" w:rsidRPr="00EE1981" w:rsidRDefault="00EE1981" w:rsidP="00543DF9">
            <w:pPr>
              <w:rPr>
                <w:rFonts w:ascii="Arial" w:hAnsi="Arial" w:cs="Arial"/>
                <w:sz w:val="20"/>
                <w:szCs w:val="20"/>
              </w:rPr>
            </w:pPr>
            <w:r w:rsidRPr="00EE1981">
              <w:rPr>
                <w:rFonts w:ascii="Arial" w:hAnsi="Arial" w:cs="Arial"/>
                <w:sz w:val="16"/>
                <w:szCs w:val="16"/>
              </w:rPr>
              <w:t>This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 xml:space="preserve"> includes</w:t>
            </w:r>
            <w:r w:rsidR="00543DF9" w:rsidRPr="00EE1981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eaching, learning and assessment activities either on a one to one or group basis delivered in an appropriate location to meet apprentice and employer need</w:t>
            </w:r>
            <w:r w:rsidR="00543DF9" w:rsidRPr="00EE198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Self-directed distance learning and access to virtual classrooms or blended learning related to OTJ training</w:t>
            </w:r>
            <w:r w:rsidR="00543DF9" w:rsidRPr="00EE198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Any additional learning required for resitting exams or EPA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2C74D8" w14:textId="77777777" w:rsidR="00543DF9" w:rsidRPr="00F21B50" w:rsidRDefault="00543DF9" w:rsidP="00543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3E8B5C75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66D41E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E42DAF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3EB9618D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</w:tr>
      <w:tr w:rsidR="00B114F7" w:rsidRPr="00543DF9" w14:paraId="0488B695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79A8F3F3" w14:textId="77777777" w:rsidR="00EE1981" w:rsidRPr="008B0FB2" w:rsidRDefault="00543DF9" w:rsidP="00543DF9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t>Reviews</w:t>
            </w:r>
            <w:r w:rsidR="00EE1981" w:rsidRPr="008B0F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A3BC45" w14:textId="77777777" w:rsidR="00EE1981" w:rsidRPr="00F21B50" w:rsidRDefault="00EE1981" w:rsidP="00543D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A7ACE" w14:textId="77777777" w:rsidR="00B114F7" w:rsidRPr="00EE1981" w:rsidRDefault="00EE1981" w:rsidP="00543DF9">
            <w:pPr>
              <w:rPr>
                <w:rFonts w:ascii="Arial" w:hAnsi="Arial" w:cs="Arial"/>
                <w:sz w:val="16"/>
                <w:szCs w:val="16"/>
              </w:rPr>
            </w:pPr>
            <w:r w:rsidRPr="00EE1981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="00543DF9" w:rsidRPr="00EE1981">
              <w:rPr>
                <w:rFonts w:ascii="Arial" w:hAnsi="Arial" w:cs="Arial"/>
                <w:sz w:val="16"/>
                <w:szCs w:val="16"/>
              </w:rPr>
              <w:t>include</w:t>
            </w:r>
            <w:r w:rsidRPr="00EE1981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543DF9" w:rsidRPr="00EE1981">
              <w:rPr>
                <w:rFonts w:ascii="Arial" w:hAnsi="Arial" w:cs="Arial"/>
                <w:sz w:val="16"/>
                <w:szCs w:val="16"/>
              </w:rPr>
              <w:t>o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nsite reviews throughout the duration of the programme linked to achievement of the planned outcomes involving Employer and Apprentice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C62593" w14:textId="77777777" w:rsidR="00EE1981" w:rsidRPr="00F21B50" w:rsidRDefault="00EE1981" w:rsidP="00543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69C5217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062674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FE11C6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71FCA667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</w:tr>
      <w:tr w:rsidR="00B114F7" w:rsidRPr="00543DF9" w14:paraId="7E34DC1A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0BD11AAB" w14:textId="77777777" w:rsidR="00EE1981" w:rsidRPr="008B0FB2" w:rsidRDefault="00EE1981" w:rsidP="00556474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lastRenderedPageBreak/>
              <w:t>Materials.</w:t>
            </w:r>
          </w:p>
          <w:p w14:paraId="6FF8CFDC" w14:textId="77777777" w:rsidR="00EE1981" w:rsidRPr="00F21B50" w:rsidRDefault="00EE1981" w:rsidP="00556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4B1E89" w14:textId="77777777" w:rsidR="00B114F7" w:rsidRPr="00EE1981" w:rsidRDefault="00EE1981" w:rsidP="00556474">
            <w:pPr>
              <w:rPr>
                <w:rFonts w:ascii="Arial" w:hAnsi="Arial" w:cs="Arial"/>
                <w:sz w:val="16"/>
                <w:szCs w:val="16"/>
              </w:rPr>
            </w:pPr>
            <w:r w:rsidRPr="00EE1981">
              <w:rPr>
                <w:rFonts w:ascii="Arial" w:hAnsi="Arial" w:cs="Arial"/>
                <w:sz w:val="16"/>
                <w:szCs w:val="16"/>
              </w:rPr>
              <w:t>This includes a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ccess to e-portfolio for Employer and Apprentice</w:t>
            </w:r>
          </w:p>
          <w:p w14:paraId="57DF5219" w14:textId="77777777" w:rsidR="00B114F7" w:rsidRPr="00EE1981" w:rsidRDefault="00B114F7" w:rsidP="00556474">
            <w:pPr>
              <w:rPr>
                <w:rFonts w:ascii="Arial" w:hAnsi="Arial" w:cs="Arial"/>
                <w:sz w:val="16"/>
                <w:szCs w:val="16"/>
              </w:rPr>
            </w:pPr>
            <w:r w:rsidRPr="00EE1981">
              <w:rPr>
                <w:rFonts w:ascii="Arial" w:hAnsi="Arial" w:cs="Arial"/>
                <w:sz w:val="16"/>
                <w:szCs w:val="16"/>
              </w:rPr>
              <w:t xml:space="preserve">Awarding body workbooks as required </w:t>
            </w:r>
            <w:r w:rsidR="00EE1981" w:rsidRPr="00EE1981">
              <w:rPr>
                <w:rFonts w:ascii="Arial" w:hAnsi="Arial" w:cs="Arial"/>
                <w:sz w:val="16"/>
                <w:szCs w:val="16"/>
              </w:rPr>
              <w:t>enabling</w:t>
            </w:r>
            <w:r w:rsidRPr="00EE1981">
              <w:rPr>
                <w:rFonts w:ascii="Arial" w:hAnsi="Arial" w:cs="Arial"/>
                <w:sz w:val="16"/>
                <w:szCs w:val="16"/>
              </w:rPr>
              <w:t xml:space="preserve"> a particular learning activity to happe</w:t>
            </w:r>
            <w:r w:rsidR="00EE1981" w:rsidRPr="00EE1981">
              <w:rPr>
                <w:rFonts w:ascii="Arial" w:hAnsi="Arial" w:cs="Arial"/>
                <w:sz w:val="16"/>
                <w:szCs w:val="16"/>
              </w:rPr>
              <w:t>n within the workplace or class</w:t>
            </w:r>
            <w:r w:rsidRPr="00EE1981">
              <w:rPr>
                <w:rFonts w:ascii="Arial" w:hAnsi="Arial" w:cs="Arial"/>
                <w:sz w:val="16"/>
                <w:szCs w:val="16"/>
              </w:rPr>
              <w:t>room setting</w:t>
            </w:r>
            <w:r w:rsidR="00EE19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5D6B3D" w14:textId="77777777" w:rsidR="00EE1981" w:rsidRPr="00F21B50" w:rsidRDefault="00EE1981" w:rsidP="005564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3E7DB0C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CB5E09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E350B8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0F9C6755" w14:textId="77777777" w:rsidR="00B114F7" w:rsidRPr="00543DF9" w:rsidRDefault="00B114F7" w:rsidP="00556474">
            <w:pPr>
              <w:rPr>
                <w:rFonts w:ascii="Arial" w:hAnsi="Arial" w:cs="Arial"/>
              </w:rPr>
            </w:pPr>
          </w:p>
        </w:tc>
      </w:tr>
      <w:tr w:rsidR="00B114F7" w:rsidRPr="00543DF9" w14:paraId="4AEA74DD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4CECC270" w14:textId="77777777" w:rsidR="00EE1981" w:rsidRPr="008B0FB2" w:rsidRDefault="00B114F7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t>P</w:t>
            </w:r>
            <w:r w:rsidR="00EE1981" w:rsidRPr="008B0FB2">
              <w:rPr>
                <w:rFonts w:ascii="Arial" w:hAnsi="Arial" w:cs="Arial"/>
                <w:sz w:val="20"/>
                <w:szCs w:val="20"/>
              </w:rPr>
              <w:t>rogramme Administration.</w:t>
            </w:r>
          </w:p>
          <w:p w14:paraId="31EC193B" w14:textId="77777777" w:rsidR="00EE1981" w:rsidRPr="00F21B50" w:rsidRDefault="00EE19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90BE68" w14:textId="77777777" w:rsidR="00B114F7" w:rsidRDefault="00EE1981" w:rsidP="00E4005B">
            <w:pPr>
              <w:rPr>
                <w:rFonts w:ascii="Arial" w:hAnsi="Arial" w:cs="Arial"/>
                <w:sz w:val="16"/>
                <w:szCs w:val="16"/>
              </w:rPr>
            </w:pPr>
            <w:r w:rsidRPr="00EE1981">
              <w:rPr>
                <w:rFonts w:ascii="Arial" w:hAnsi="Arial" w:cs="Arial"/>
                <w:sz w:val="16"/>
                <w:szCs w:val="16"/>
              </w:rPr>
              <w:t>This includes r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egistration and certification costs for mandatory qualifications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EPA arrangements in association with the Employer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B0FB2">
              <w:rPr>
                <w:rFonts w:ascii="Arial" w:hAnsi="Arial" w:cs="Arial"/>
                <w:sz w:val="16"/>
                <w:szCs w:val="16"/>
              </w:rPr>
              <w:t xml:space="preserve"> any 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additional costs for resitting of exams or EPA</w:t>
            </w:r>
            <w:r>
              <w:rPr>
                <w:rFonts w:ascii="Arial" w:hAnsi="Arial" w:cs="Arial"/>
                <w:sz w:val="16"/>
                <w:szCs w:val="16"/>
              </w:rPr>
              <w:t>, c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ompliance checks for Employer and Apprentice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E56AAE" w14:textId="77777777" w:rsidR="00EE1981" w:rsidRPr="00F21B50" w:rsidRDefault="00EE1981" w:rsidP="00E40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0C3A7952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4CE5AD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14021A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21A17AA3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</w:tr>
      <w:tr w:rsidR="00B114F7" w:rsidRPr="00543DF9" w14:paraId="3E7F6AAC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1F921E39" w14:textId="77777777" w:rsidR="00EE1981" w:rsidRPr="008B0FB2" w:rsidRDefault="00EE1981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t>Administering Quality.</w:t>
            </w:r>
          </w:p>
          <w:p w14:paraId="439E45AD" w14:textId="77777777" w:rsidR="00EE1981" w:rsidRPr="00F21B50" w:rsidRDefault="00EE19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3D6F0" w14:textId="77777777" w:rsidR="00B114F7" w:rsidRPr="00EE1981" w:rsidRDefault="00EE1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includes 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IQA / EQA activity related directly to the programme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B98DE8" w14:textId="77777777" w:rsidR="00B114F7" w:rsidRPr="00F21B50" w:rsidRDefault="00B11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7D85B327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36D003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D6CBD9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6D57059E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</w:tr>
      <w:tr w:rsidR="00B114F7" w:rsidRPr="00543DF9" w14:paraId="69A30535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392C0E18" w14:textId="77777777" w:rsidR="00EE1981" w:rsidRPr="008B0FB2" w:rsidRDefault="00EE1981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t>Administering D</w:t>
            </w:r>
            <w:r w:rsidR="00B114F7" w:rsidRPr="008B0FB2">
              <w:rPr>
                <w:rFonts w:ascii="Arial" w:hAnsi="Arial" w:cs="Arial"/>
                <w:sz w:val="20"/>
                <w:szCs w:val="20"/>
              </w:rPr>
              <w:t>ata</w:t>
            </w:r>
            <w:r w:rsidRPr="008B0F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57EBD" w14:textId="77777777" w:rsidR="00EE1981" w:rsidRPr="00F21B50" w:rsidRDefault="00EE19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C1890" w14:textId="77777777" w:rsidR="00B114F7" w:rsidRDefault="00EE1981" w:rsidP="00EE1981">
            <w:pPr>
              <w:rPr>
                <w:rFonts w:ascii="Arial" w:hAnsi="Arial" w:cs="Arial"/>
                <w:sz w:val="16"/>
                <w:szCs w:val="16"/>
              </w:rPr>
            </w:pPr>
            <w:r w:rsidRPr="00EE1981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includes</w:t>
            </w:r>
            <w:r w:rsidRPr="00EE1981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rocessing the ILR and associated activities relating to data quality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 xml:space="preserve">rocessing of financial incentives and employer co-investment </w:t>
            </w:r>
            <w:r>
              <w:rPr>
                <w:rFonts w:ascii="Arial" w:hAnsi="Arial" w:cs="Arial"/>
                <w:sz w:val="16"/>
                <w:szCs w:val="16"/>
              </w:rPr>
              <w:t>and a</w:t>
            </w:r>
            <w:r w:rsidR="00B114F7" w:rsidRPr="00EE1981">
              <w:rPr>
                <w:rFonts w:ascii="Arial" w:hAnsi="Arial" w:cs="Arial"/>
                <w:sz w:val="16"/>
                <w:szCs w:val="16"/>
              </w:rPr>
              <w:t>dministration for the college DAS account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C7287A" w14:textId="77777777" w:rsidR="00EE1981" w:rsidRPr="00F21B50" w:rsidRDefault="00EE1981" w:rsidP="00EE1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4D6893D5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FC1F1B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4228A6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731E39F9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</w:tr>
      <w:tr w:rsidR="00B114F7" w:rsidRPr="00543DF9" w14:paraId="71457DE2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2E0BB6EB" w14:textId="77777777" w:rsidR="00B114F7" w:rsidRPr="008B0FB2" w:rsidRDefault="00777A68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B114F7" w:rsidRPr="008B0FB2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12752818" w14:textId="77777777" w:rsidR="00043AA4" w:rsidRPr="00543DF9" w:rsidRDefault="00043AA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338FE893" w14:textId="77777777" w:rsidR="00B114F7" w:rsidRPr="00543DF9" w:rsidRDefault="00B114F7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DA30A9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899464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740EA7BA" w14:textId="77777777" w:rsidR="00B114F7" w:rsidRPr="00543DF9" w:rsidRDefault="00B114F7">
            <w:pPr>
              <w:rPr>
                <w:rFonts w:ascii="Arial" w:hAnsi="Arial" w:cs="Arial"/>
              </w:rPr>
            </w:pPr>
          </w:p>
        </w:tc>
      </w:tr>
      <w:tr w:rsidR="00777A68" w:rsidRPr="00543DF9" w14:paraId="0F031E58" w14:textId="77777777" w:rsidTr="008B0FB2">
        <w:tc>
          <w:tcPr>
            <w:tcW w:w="2651" w:type="dxa"/>
            <w:shd w:val="clear" w:color="auto" w:fill="D9D9D9" w:themeFill="background1" w:themeFillShade="D9"/>
          </w:tcPr>
          <w:p w14:paraId="11FB35EC" w14:textId="77777777" w:rsidR="00777A68" w:rsidRPr="008B0FB2" w:rsidRDefault="00777A68">
            <w:pPr>
              <w:rPr>
                <w:rFonts w:ascii="Arial" w:hAnsi="Arial" w:cs="Arial"/>
                <w:sz w:val="20"/>
                <w:szCs w:val="20"/>
              </w:rPr>
            </w:pPr>
            <w:r w:rsidRPr="008B0FB2">
              <w:rPr>
                <w:rFonts w:ascii="Arial" w:hAnsi="Arial" w:cs="Arial"/>
                <w:sz w:val="20"/>
                <w:szCs w:val="20"/>
              </w:rPr>
              <w:t>EPA Cost</w:t>
            </w:r>
          </w:p>
          <w:p w14:paraId="6D506B15" w14:textId="77777777" w:rsidR="00043AA4" w:rsidRPr="00543DF9" w:rsidRDefault="00043AA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4129085A" w14:textId="77777777" w:rsidR="00777A68" w:rsidRPr="00543DF9" w:rsidRDefault="00777A68" w:rsidP="008B0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324B1F" w14:textId="77777777" w:rsidR="00777A68" w:rsidRPr="00543DF9" w:rsidRDefault="00777A6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78C9B7" w14:textId="77777777" w:rsidR="00777A68" w:rsidRPr="00543DF9" w:rsidRDefault="00777A68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</w:tcPr>
          <w:p w14:paraId="16DF4913" w14:textId="77777777" w:rsidR="00777A68" w:rsidRPr="00543DF9" w:rsidRDefault="00777A68">
            <w:pPr>
              <w:rPr>
                <w:rFonts w:ascii="Arial" w:hAnsi="Arial" w:cs="Arial"/>
              </w:rPr>
            </w:pPr>
          </w:p>
        </w:tc>
      </w:tr>
    </w:tbl>
    <w:p w14:paraId="05AFD18A" w14:textId="77777777" w:rsidR="00B40766" w:rsidRPr="00543DF9" w:rsidRDefault="00B40766">
      <w:pPr>
        <w:rPr>
          <w:rFonts w:ascii="Arial" w:hAnsi="Arial" w:cs="Arial"/>
        </w:rPr>
      </w:pPr>
    </w:p>
    <w:sectPr w:rsidR="00B40766" w:rsidRPr="00543DF9" w:rsidSect="00596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C0140" w14:textId="77777777" w:rsidR="00C5419A" w:rsidRDefault="00C5419A" w:rsidP="003F2AFF">
      <w:pPr>
        <w:spacing w:after="0" w:line="240" w:lineRule="auto"/>
      </w:pPr>
      <w:r>
        <w:separator/>
      </w:r>
    </w:p>
  </w:endnote>
  <w:endnote w:type="continuationSeparator" w:id="0">
    <w:p w14:paraId="3C5BA0B2" w14:textId="77777777" w:rsidR="00C5419A" w:rsidRDefault="00C5419A" w:rsidP="003F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DE9D" w14:textId="77777777" w:rsidR="003B50E3" w:rsidRDefault="003B5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50D7" w14:textId="77777777" w:rsidR="003B50E3" w:rsidRDefault="003B5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B9DE" w14:textId="77777777" w:rsidR="003B50E3" w:rsidRDefault="003B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50CE8" w14:textId="77777777" w:rsidR="00C5419A" w:rsidRDefault="00C5419A" w:rsidP="003F2AFF">
      <w:pPr>
        <w:spacing w:after="0" w:line="240" w:lineRule="auto"/>
      </w:pPr>
      <w:r>
        <w:separator/>
      </w:r>
    </w:p>
  </w:footnote>
  <w:footnote w:type="continuationSeparator" w:id="0">
    <w:p w14:paraId="5BCEEEDD" w14:textId="77777777" w:rsidR="00C5419A" w:rsidRDefault="00C5419A" w:rsidP="003F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1CEC" w14:textId="77777777" w:rsidR="003B50E3" w:rsidRDefault="003B5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A0C7" w14:textId="60DB2C9C" w:rsidR="003F2AFF" w:rsidRDefault="009B5270">
    <w:pPr>
      <w:pStyle w:val="Header"/>
    </w:pPr>
    <w:r>
      <w:rPr>
        <w:rFonts w:ascii="Arial" w:hAnsi="Arial" w:cs="Arial"/>
        <w:b/>
        <w:sz w:val="24"/>
        <w:szCs w:val="24"/>
      </w:rPr>
      <w:t xml:space="preserve">Apprenticeship </w:t>
    </w:r>
    <w:r w:rsidR="003F2AFF">
      <w:rPr>
        <w:rFonts w:ascii="Arial" w:hAnsi="Arial" w:cs="Arial"/>
        <w:b/>
        <w:sz w:val="24"/>
        <w:szCs w:val="24"/>
      </w:rPr>
      <w:t xml:space="preserve">Negotiated Price Template                                                                                                                       </w:t>
    </w:r>
    <w:r w:rsidR="003F2AFF">
      <w:rPr>
        <w:noProof/>
        <w:lang w:eastAsia="en-GB"/>
      </w:rPr>
      <w:drawing>
        <wp:inline distT="0" distB="0" distL="0" distR="0" wp14:anchorId="44BEF9DF" wp14:editId="6D84B5E1">
          <wp:extent cx="673100" cy="647700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609E" w14:textId="77777777" w:rsidR="003B50E3" w:rsidRDefault="003B5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66"/>
    <w:rsid w:val="00043AA4"/>
    <w:rsid w:val="00237EA2"/>
    <w:rsid w:val="00256058"/>
    <w:rsid w:val="003967F8"/>
    <w:rsid w:val="003B50E3"/>
    <w:rsid w:val="003F2AFF"/>
    <w:rsid w:val="00543DF9"/>
    <w:rsid w:val="0059605F"/>
    <w:rsid w:val="00596B68"/>
    <w:rsid w:val="005B3842"/>
    <w:rsid w:val="006D345B"/>
    <w:rsid w:val="00777A68"/>
    <w:rsid w:val="007A4473"/>
    <w:rsid w:val="00817C53"/>
    <w:rsid w:val="008A783D"/>
    <w:rsid w:val="008B0FB2"/>
    <w:rsid w:val="009B5270"/>
    <w:rsid w:val="00AF68AD"/>
    <w:rsid w:val="00B114F7"/>
    <w:rsid w:val="00B40766"/>
    <w:rsid w:val="00B5414C"/>
    <w:rsid w:val="00C5419A"/>
    <w:rsid w:val="00E16794"/>
    <w:rsid w:val="00E4005B"/>
    <w:rsid w:val="00E827FD"/>
    <w:rsid w:val="00EE1981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404F"/>
  <w15:chartTrackingRefBased/>
  <w15:docId w15:val="{EFFACA61-7BD7-4173-9357-5EA64785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FF"/>
  </w:style>
  <w:style w:type="paragraph" w:styleId="Footer">
    <w:name w:val="footer"/>
    <w:basedOn w:val="Normal"/>
    <w:link w:val="FooterChar"/>
    <w:uiPriority w:val="99"/>
    <w:unhideWhenUsed/>
    <w:rsid w:val="003F2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FD2F139063641B76CF4B4F8AC60D6" ma:contentTypeVersion="13" ma:contentTypeDescription="Create a new document." ma:contentTypeScope="" ma:versionID="371dbcf76430d76ae4193bda8f3c57ec">
  <xsd:schema xmlns:xsd="http://www.w3.org/2001/XMLSchema" xmlns:xs="http://www.w3.org/2001/XMLSchema" xmlns:p="http://schemas.microsoft.com/office/2006/metadata/properties" xmlns:ns3="932f34b5-4203-4006-a3e9-d2b9c5361cce" xmlns:ns4="7f2df02c-4abe-49a5-9ee6-4749178ba866" targetNamespace="http://schemas.microsoft.com/office/2006/metadata/properties" ma:root="true" ma:fieldsID="a4c2082b1d01089293fc380aa1b69a3e" ns3:_="" ns4:_="">
    <xsd:import namespace="932f34b5-4203-4006-a3e9-d2b9c5361cce"/>
    <xsd:import namespace="7f2df02c-4abe-49a5-9ee6-4749178ba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f34b5-4203-4006-a3e9-d2b9c5361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f02c-4abe-49a5-9ee6-4749178ba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E7EA1-DFAD-4DFB-AC0C-58CD29E2F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5ACAC-688E-47BE-8232-017FC9724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29617-98E0-4D2D-A5B5-FBE5280A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f34b5-4203-4006-a3e9-d2b9c5361cce"/>
    <ds:schemaRef ds:uri="7f2df02c-4abe-49a5-9ee6-4749178ba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Watson</dc:creator>
  <cp:keywords/>
  <dc:description/>
  <cp:lastModifiedBy>Katrina Dougherty</cp:lastModifiedBy>
  <cp:revision>2</cp:revision>
  <cp:lastPrinted>2019-07-16T09:22:00Z</cp:lastPrinted>
  <dcterms:created xsi:type="dcterms:W3CDTF">2020-10-26T16:52:00Z</dcterms:created>
  <dcterms:modified xsi:type="dcterms:W3CDTF">2020-10-26T16:52:00Z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0x0101009A6FD2F139063641B76CF4B4F8AC60D6</vt:lpwstr>
  </property>
</Properties>
</file>